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8" w:rsidRPr="003C23D0" w:rsidRDefault="00CB22F5">
      <w:pPr>
        <w:spacing w:after="93" w:line="259" w:lineRule="auto"/>
        <w:ind w:left="10" w:right="4" w:hanging="10"/>
        <w:jc w:val="center"/>
        <w:rPr>
          <w:color w:val="2E74B5" w:themeColor="accent1" w:themeShade="BF"/>
        </w:rPr>
      </w:pPr>
      <w:bookmarkStart w:id="0" w:name="_GoBack"/>
      <w:bookmarkEnd w:id="0"/>
      <w:r w:rsidRPr="003C23D0">
        <w:rPr>
          <w:b/>
          <w:color w:val="2E74B5" w:themeColor="accent1" w:themeShade="BF"/>
          <w:sz w:val="28"/>
        </w:rPr>
        <w:t xml:space="preserve">College of Engineering and Computing 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3C23D0" w:rsidRDefault="00CB22F5">
      <w:pPr>
        <w:spacing w:after="38" w:line="259" w:lineRule="auto"/>
        <w:ind w:left="10" w:right="3" w:hanging="10"/>
        <w:jc w:val="center"/>
        <w:rPr>
          <w:color w:val="2E74B5" w:themeColor="accent1" w:themeShade="BF"/>
        </w:rPr>
      </w:pPr>
      <w:r w:rsidRPr="003C23D0">
        <w:rPr>
          <w:b/>
          <w:color w:val="2E74B5" w:themeColor="accent1" w:themeShade="BF"/>
          <w:sz w:val="28"/>
        </w:rPr>
        <w:t>Staff Awards Guidelines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CB22F5" w:rsidP="00096D67">
      <w:pPr>
        <w:spacing w:after="0" w:line="240" w:lineRule="auto"/>
        <w:ind w:left="-14" w:right="0" w:firstLine="0"/>
      </w:pPr>
      <w:r w:rsidRPr="00096D67">
        <w:t xml:space="preserve">The College of Engineering and Computing invites applications for the Staff Awards for the </w:t>
      </w:r>
      <w:r w:rsidR="002C2E33" w:rsidRPr="00096D67">
        <w:t>20</w:t>
      </w:r>
      <w:r w:rsidR="002C2E33">
        <w:t>2</w:t>
      </w:r>
      <w:r w:rsidR="00F15B94">
        <w:t>2</w:t>
      </w:r>
      <w:r w:rsidRPr="00096D67">
        <w:t>-20</w:t>
      </w:r>
      <w:r w:rsidR="00407A1D">
        <w:t>2</w:t>
      </w:r>
      <w:r w:rsidR="00F15B94">
        <w:t>3</w:t>
      </w:r>
      <w:r w:rsidRPr="00096D67">
        <w:t xml:space="preserve"> academic year. The awards will be given in the categories of </w:t>
      </w:r>
      <w:r w:rsidR="00213D4E">
        <w:t xml:space="preserve">(1) </w:t>
      </w:r>
      <w:r w:rsidR="0002210D" w:rsidRPr="0002210D">
        <w:rPr>
          <w:i/>
        </w:rPr>
        <w:t xml:space="preserve">Institutional, Strategic, and Operational </w:t>
      </w:r>
      <w:r w:rsidRPr="0002210D">
        <w:rPr>
          <w:i/>
        </w:rPr>
        <w:t>Excellence</w:t>
      </w:r>
      <w:r w:rsidR="00213D4E">
        <w:t>; (2)</w:t>
      </w:r>
      <w:r w:rsidRPr="00096D67">
        <w:t xml:space="preserve"> </w:t>
      </w:r>
      <w:r w:rsidRPr="00096D67">
        <w:rPr>
          <w:i/>
        </w:rPr>
        <w:t>Knowledge and Achievement</w:t>
      </w:r>
      <w:r w:rsidR="00213D4E">
        <w:t>;</w:t>
      </w:r>
      <w:r w:rsidR="00213D4E" w:rsidRPr="00096D67">
        <w:t xml:space="preserve"> </w:t>
      </w:r>
      <w:r w:rsidRPr="00096D67">
        <w:t xml:space="preserve">and </w:t>
      </w:r>
      <w:r w:rsidR="00213D4E">
        <w:t xml:space="preserve">(3) </w:t>
      </w:r>
      <w:r w:rsidR="0002210D">
        <w:rPr>
          <w:i/>
        </w:rPr>
        <w:t>Service Excellence</w:t>
      </w:r>
      <w:r w:rsidRPr="00096D67">
        <w:t xml:space="preserve">. </w:t>
      </w:r>
      <w:r w:rsidR="00455F77">
        <w:t>All eligible administrative and staff employees</w:t>
      </w:r>
      <w:r w:rsidR="00F0773B">
        <w:t xml:space="preserve">, </w:t>
      </w:r>
      <w:r w:rsidR="00F0773B" w:rsidRPr="003C23D0">
        <w:rPr>
          <w:b/>
        </w:rPr>
        <w:t>with or without nomination</w:t>
      </w:r>
      <w:r w:rsidR="00F0773B">
        <w:t>,</w:t>
      </w:r>
      <w:r w:rsidR="00455F77">
        <w:t xml:space="preserve"> are welc</w:t>
      </w:r>
      <w:r w:rsidR="005A0C07">
        <w:t>ome to apply.</w:t>
      </w:r>
    </w:p>
    <w:p w:rsidR="00096D67" w:rsidRDefault="00096D67" w:rsidP="00096D67">
      <w:pPr>
        <w:spacing w:after="0" w:line="240" w:lineRule="auto"/>
        <w:ind w:left="-5" w:right="0" w:hanging="10"/>
        <w:jc w:val="left"/>
        <w:rPr>
          <w:b/>
        </w:rPr>
      </w:pPr>
    </w:p>
    <w:p w:rsidR="006A2CA8" w:rsidRPr="003C23D0" w:rsidRDefault="003C23D0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 xml:space="preserve">Application </w:t>
      </w:r>
      <w:r w:rsidR="00CB22F5" w:rsidRPr="003C23D0">
        <w:rPr>
          <w:b/>
          <w:color w:val="2E74B5" w:themeColor="accent1" w:themeShade="BF"/>
          <w:sz w:val="28"/>
          <w:szCs w:val="28"/>
        </w:rPr>
        <w:t>Documentation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A</w:t>
      </w:r>
      <w:r w:rsidR="00281DFA" w:rsidRPr="009C456C">
        <w:t>pplication form</w:t>
      </w:r>
      <w:r w:rsidR="003C23D0">
        <w:t xml:space="preserve"> (r</w:t>
      </w:r>
      <w:r w:rsidR="0060584E" w:rsidRPr="009C456C">
        <w:t>equired)</w:t>
      </w:r>
    </w:p>
    <w:p w:rsidR="0060584E" w:rsidRPr="009C456C" w:rsidRDefault="005D10B3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Resume</w:t>
      </w:r>
      <w:r w:rsidR="0060584E" w:rsidRPr="009C456C">
        <w:t xml:space="preserve"> (</w:t>
      </w:r>
      <w:r w:rsidR="003C23D0">
        <w:t>r</w:t>
      </w:r>
      <w:r w:rsidR="0060584E" w:rsidRPr="009C456C">
        <w:t>equired)</w:t>
      </w:r>
    </w:p>
    <w:p w:rsidR="006A2CA8" w:rsidRPr="009C456C" w:rsidRDefault="00CB22F5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Personal statement summarizing accomplishments </w:t>
      </w:r>
      <w:r w:rsidR="00040300">
        <w:t>(</w:t>
      </w:r>
      <w:r w:rsidR="00040300" w:rsidRPr="003C23D0">
        <w:rPr>
          <w:b/>
        </w:rPr>
        <w:t>with emphasis on those over the last three years</w:t>
      </w:r>
      <w:r w:rsidR="00040300">
        <w:t xml:space="preserve">) </w:t>
      </w:r>
      <w:r w:rsidRPr="009C456C">
        <w:t>in the chosen category</w:t>
      </w:r>
      <w:r w:rsidR="0060584E" w:rsidRPr="009C456C">
        <w:t xml:space="preserve"> </w:t>
      </w:r>
      <w:r w:rsidR="003C23D0">
        <w:t>(maximum two pages in length) (r</w:t>
      </w:r>
      <w:r w:rsidR="0060584E" w:rsidRPr="009C456C">
        <w:t>equired)</w:t>
      </w:r>
    </w:p>
    <w:p w:rsidR="00B86A16" w:rsidRPr="009C456C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Annual Evaluation: </w:t>
      </w:r>
      <w:r w:rsidR="00455F77" w:rsidRPr="009C456C">
        <w:t>T</w:t>
      </w:r>
      <w:r w:rsidRPr="009C456C">
        <w:t>he most recent annual evaluation by the applicant’s supervisor.</w:t>
      </w:r>
      <w:r w:rsidR="003C23D0">
        <w:t xml:space="preserve"> (r</w:t>
      </w:r>
      <w:r w:rsidR="0060584E" w:rsidRPr="009C456C">
        <w:t>equired)</w:t>
      </w:r>
      <w:r w:rsidRPr="009C456C">
        <w:rPr>
          <w:i/>
        </w:rPr>
        <w:t xml:space="preserve"> </w:t>
      </w:r>
      <w:r w:rsidRPr="009C456C">
        <w:t xml:space="preserve"> </w:t>
      </w:r>
    </w:p>
    <w:p w:rsidR="00B86A16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Endorsement Letter(s): </w:t>
      </w:r>
      <w:r w:rsidRPr="009C456C">
        <w:t>Letters from students, faculty, administ</w:t>
      </w:r>
      <w:r w:rsidR="007C25BF" w:rsidRPr="009C456C">
        <w:t>rators</w:t>
      </w:r>
      <w:r w:rsidRPr="009C456C">
        <w:t xml:space="preserve"> or staff colleagues explaining why they feel the applicant should receive the award.</w:t>
      </w:r>
      <w:r w:rsidRPr="009C456C">
        <w:rPr>
          <w:i/>
        </w:rPr>
        <w:t xml:space="preserve"> </w:t>
      </w:r>
      <w:r w:rsidRPr="009C456C">
        <w:t>(maximum of two letters</w:t>
      </w:r>
      <w:r w:rsidR="0060584E" w:rsidRPr="009C456C">
        <w:t>,</w:t>
      </w:r>
      <w:r w:rsidRPr="009C456C">
        <w:t xml:space="preserve"> each letter </w:t>
      </w:r>
      <w:r w:rsidR="00F54AA9">
        <w:t xml:space="preserve">maximum </w:t>
      </w:r>
      <w:r w:rsidRPr="009C456C">
        <w:t xml:space="preserve">one </w:t>
      </w:r>
      <w:r w:rsidR="0060584E" w:rsidRPr="009C456C">
        <w:t>page in length) (</w:t>
      </w:r>
      <w:r w:rsidR="003C23D0">
        <w:t>o</w:t>
      </w:r>
      <w:r w:rsidRPr="009C456C">
        <w:t xml:space="preserve">ptional) </w:t>
      </w:r>
    </w:p>
    <w:p w:rsidR="003C23D0" w:rsidRPr="009C456C" w:rsidRDefault="003C23D0" w:rsidP="003C23D0">
      <w:pPr>
        <w:spacing w:after="0" w:line="240" w:lineRule="auto"/>
        <w:ind w:left="360" w:right="0" w:firstLine="0"/>
      </w:pPr>
    </w:p>
    <w:p w:rsidR="0060584E" w:rsidRPr="003C23D0" w:rsidRDefault="0060584E" w:rsidP="003C23D0">
      <w:pPr>
        <w:pStyle w:val="Default"/>
        <w:tabs>
          <w:tab w:val="left" w:pos="360"/>
        </w:tabs>
        <w:rPr>
          <w:sz w:val="22"/>
          <w:szCs w:val="22"/>
        </w:rPr>
      </w:pPr>
      <w:r w:rsidRPr="003C23D0">
        <w:rPr>
          <w:i/>
          <w:sz w:val="22"/>
          <w:szCs w:val="22"/>
          <w:u w:val="single"/>
        </w:rPr>
        <w:t>Applications missing any of the required documents will not be considered</w:t>
      </w:r>
      <w:r w:rsidRPr="003C23D0">
        <w:rPr>
          <w:sz w:val="22"/>
          <w:szCs w:val="22"/>
        </w:rPr>
        <w:t>.</w:t>
      </w:r>
    </w:p>
    <w:p w:rsidR="006A2CA8" w:rsidRPr="009C456C" w:rsidRDefault="006A2CA8" w:rsidP="00096D67">
      <w:pPr>
        <w:spacing w:after="0" w:line="240" w:lineRule="auto"/>
        <w:ind w:left="0" w:right="0" w:firstLine="0"/>
        <w:jc w:val="left"/>
      </w:pPr>
    </w:p>
    <w:p w:rsidR="006A2CA8" w:rsidRPr="003C23D0" w:rsidRDefault="00CB22F5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Eligibility</w:t>
      </w:r>
    </w:p>
    <w:p w:rsidR="00096D67" w:rsidRPr="009C456C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14" w:right="0" w:firstLine="0"/>
      </w:pPr>
      <w:r w:rsidRPr="009C456C">
        <w:t xml:space="preserve">The specific eligibility requirements for each award </w:t>
      </w:r>
      <w:r w:rsidR="00455F77" w:rsidRPr="009C456C">
        <w:t>are</w:t>
      </w:r>
      <w:r w:rsidRPr="009C456C">
        <w:t xml:space="preserve"> listed </w:t>
      </w:r>
      <w:r w:rsidR="0033090D">
        <w:t xml:space="preserve">in the individual award sections </w:t>
      </w:r>
      <w:r w:rsidRPr="009C456C">
        <w:t>below. The following restriction</w:t>
      </w:r>
      <w:r w:rsidR="00213D4E" w:rsidRPr="009C456C">
        <w:t>s</w:t>
      </w:r>
      <w:r w:rsidRPr="009C456C">
        <w:t xml:space="preserve"> also appl</w:t>
      </w:r>
      <w:r w:rsidR="00213D4E" w:rsidRPr="009C456C">
        <w:t>y:</w:t>
      </w:r>
      <w:r w:rsidRPr="009C456C">
        <w:t xml:space="preserve"> </w:t>
      </w:r>
    </w:p>
    <w:p w:rsidR="00A007C6" w:rsidRPr="009C456C" w:rsidRDefault="00A007C6" w:rsidP="00096D67">
      <w:pPr>
        <w:spacing w:after="0" w:line="240" w:lineRule="auto"/>
        <w:ind w:left="-14" w:right="0" w:firstLine="0"/>
      </w:pPr>
    </w:p>
    <w:p w:rsidR="006A2CA8" w:rsidRPr="009C456C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Applicants </w:t>
      </w:r>
      <w:r w:rsidR="00CB22F5" w:rsidRPr="009C456C">
        <w:t>must be f</w:t>
      </w:r>
      <w:r w:rsidR="008A5DE3" w:rsidRPr="009C456C">
        <w:t>ull-time staff members of CEC.</w:t>
      </w:r>
    </w:p>
    <w:p w:rsidR="00281DFA" w:rsidRPr="00040300" w:rsidRDefault="00281DFA" w:rsidP="00281DFA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040300">
        <w:rPr>
          <w:sz w:val="22"/>
          <w:szCs w:val="22"/>
        </w:rPr>
        <w:t xml:space="preserve">Applicants who received a college award in the same category have to wait for a minimum of </w:t>
      </w:r>
      <w:r w:rsidR="008A5DE3" w:rsidRPr="00040300">
        <w:rPr>
          <w:sz w:val="22"/>
          <w:szCs w:val="22"/>
        </w:rPr>
        <w:t>three</w:t>
      </w:r>
      <w:r w:rsidRPr="00040300">
        <w:rPr>
          <w:sz w:val="22"/>
          <w:szCs w:val="22"/>
        </w:rPr>
        <w:t xml:space="preserve"> </w:t>
      </w:r>
      <w:r w:rsidR="0060584E" w:rsidRPr="00040300">
        <w:rPr>
          <w:sz w:val="22"/>
          <w:szCs w:val="22"/>
        </w:rPr>
        <w:t xml:space="preserve">academic </w:t>
      </w:r>
      <w:r w:rsidRPr="00040300">
        <w:rPr>
          <w:sz w:val="22"/>
          <w:szCs w:val="22"/>
        </w:rPr>
        <w:t>years</w:t>
      </w:r>
      <w:r w:rsidR="00901752" w:rsidRPr="00040300">
        <w:rPr>
          <w:sz w:val="22"/>
          <w:szCs w:val="22"/>
        </w:rPr>
        <w:t xml:space="preserve"> to become eligible to apply for </w:t>
      </w:r>
      <w:r w:rsidR="008A5DE3" w:rsidRPr="00040300">
        <w:rPr>
          <w:sz w:val="22"/>
          <w:szCs w:val="22"/>
        </w:rPr>
        <w:t>the same award</w:t>
      </w:r>
      <w:r w:rsidR="00901752" w:rsidRPr="00040300">
        <w:rPr>
          <w:sz w:val="22"/>
          <w:szCs w:val="22"/>
        </w:rPr>
        <w:t xml:space="preserve"> again</w:t>
      </w:r>
      <w:r w:rsidR="00040300" w:rsidRPr="00040300">
        <w:rPr>
          <w:sz w:val="22"/>
          <w:szCs w:val="22"/>
        </w:rPr>
        <w:t xml:space="preserve"> </w:t>
      </w:r>
      <w:r w:rsidR="007A1675" w:rsidRPr="007A1675">
        <w:rPr>
          <w:sz w:val="22"/>
          <w:szCs w:val="22"/>
        </w:rPr>
        <w:t xml:space="preserve">(i.e., must not be listed for the same award category on the CEC Faculty and Staff Awards page, at </w:t>
      </w:r>
      <w:hyperlink r:id="rId7" w:history="1">
        <w:r w:rsidR="007A1675" w:rsidRPr="007A1675">
          <w:rPr>
            <w:rStyle w:val="Hyperlink"/>
            <w:sz w:val="22"/>
            <w:szCs w:val="22"/>
          </w:rPr>
          <w:t>https://cecfc.fiu.edu/faculty-and-staff-awards/</w:t>
        </w:r>
      </w:hyperlink>
      <w:r w:rsidR="007A1675" w:rsidRPr="007A1675">
        <w:rPr>
          <w:sz w:val="22"/>
          <w:szCs w:val="22"/>
        </w:rPr>
        <w:t>, since the 20</w:t>
      </w:r>
      <w:r w:rsidR="00F15B94">
        <w:rPr>
          <w:sz w:val="22"/>
          <w:szCs w:val="22"/>
        </w:rPr>
        <w:t>20</w:t>
      </w:r>
      <w:r w:rsidR="007A1675" w:rsidRPr="007A1675">
        <w:rPr>
          <w:sz w:val="22"/>
          <w:szCs w:val="22"/>
        </w:rPr>
        <w:t xml:space="preserve"> list of award winners)</w:t>
      </w:r>
      <w:r w:rsidRPr="00040300">
        <w:rPr>
          <w:sz w:val="22"/>
          <w:szCs w:val="22"/>
        </w:rPr>
        <w:t>.</w:t>
      </w:r>
    </w:p>
    <w:p w:rsidR="001646CE" w:rsidRPr="001646CE" w:rsidRDefault="001646CE" w:rsidP="0060584E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1646CE">
        <w:rPr>
          <w:sz w:val="22"/>
          <w:szCs w:val="22"/>
        </w:rPr>
        <w:t xml:space="preserve">Applicant must apply to </w:t>
      </w:r>
      <w:r>
        <w:rPr>
          <w:sz w:val="22"/>
          <w:szCs w:val="22"/>
        </w:rPr>
        <w:t xml:space="preserve">only </w:t>
      </w:r>
      <w:r w:rsidRPr="001646CE">
        <w:rPr>
          <w:sz w:val="22"/>
          <w:szCs w:val="22"/>
        </w:rPr>
        <w:t xml:space="preserve">the award category </w:t>
      </w:r>
      <w:r>
        <w:rPr>
          <w:sz w:val="22"/>
          <w:szCs w:val="22"/>
        </w:rPr>
        <w:t xml:space="preserve">that </w:t>
      </w:r>
      <w:r w:rsidRPr="001646CE">
        <w:rPr>
          <w:sz w:val="22"/>
          <w:szCs w:val="22"/>
        </w:rPr>
        <w:t>match</w:t>
      </w:r>
      <w:r>
        <w:rPr>
          <w:sz w:val="22"/>
          <w:szCs w:val="22"/>
        </w:rPr>
        <w:t>es</w:t>
      </w:r>
      <w:r w:rsidRPr="001646CE">
        <w:rPr>
          <w:sz w:val="22"/>
          <w:szCs w:val="22"/>
        </w:rPr>
        <w:t xml:space="preserve"> their </w:t>
      </w:r>
      <w:r w:rsidR="001A4D08">
        <w:rPr>
          <w:sz w:val="22"/>
          <w:szCs w:val="22"/>
        </w:rPr>
        <w:t xml:space="preserve">career </w:t>
      </w:r>
      <w:r w:rsidR="00A007C6">
        <w:rPr>
          <w:sz w:val="22"/>
          <w:szCs w:val="22"/>
        </w:rPr>
        <w:t>role</w:t>
      </w:r>
      <w:r w:rsidR="00283616">
        <w:rPr>
          <w:sz w:val="22"/>
          <w:szCs w:val="22"/>
        </w:rPr>
        <w:t xml:space="preserve"> categories</w:t>
      </w:r>
      <w:r w:rsidR="00A007C6">
        <w:rPr>
          <w:sz w:val="22"/>
          <w:szCs w:val="22"/>
        </w:rPr>
        <w:t xml:space="preserve"> below</w:t>
      </w:r>
      <w:r w:rsidR="001A4D08">
        <w:rPr>
          <w:sz w:val="22"/>
          <w:szCs w:val="22"/>
        </w:rPr>
        <w:t>.</w:t>
      </w:r>
    </w:p>
    <w:p w:rsidR="0060584E" w:rsidRDefault="0060584E" w:rsidP="0060584E">
      <w:pPr>
        <w:pStyle w:val="Default"/>
        <w:jc w:val="both"/>
        <w:rPr>
          <w:sz w:val="22"/>
          <w:szCs w:val="22"/>
        </w:rPr>
      </w:pPr>
    </w:p>
    <w:p w:rsidR="00A007C6" w:rsidRDefault="00A007C6" w:rsidP="00D867D0">
      <w:pPr>
        <w:pStyle w:val="Default"/>
        <w:jc w:val="center"/>
        <w:rPr>
          <w:sz w:val="22"/>
          <w:szCs w:val="22"/>
        </w:rPr>
      </w:pPr>
      <w:r w:rsidRPr="00A007C6">
        <w:rPr>
          <w:noProof/>
          <w:sz w:val="22"/>
          <w:szCs w:val="22"/>
          <w:lang w:eastAsia="en-US"/>
        </w:rPr>
        <w:drawing>
          <wp:inline distT="0" distB="0" distL="0" distR="0">
            <wp:extent cx="5391150" cy="2232862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61" r="807" b="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C6" w:rsidRDefault="00A007C6" w:rsidP="0060584E">
      <w:pPr>
        <w:pStyle w:val="Default"/>
        <w:jc w:val="both"/>
        <w:rPr>
          <w:sz w:val="22"/>
          <w:szCs w:val="22"/>
        </w:rPr>
      </w:pPr>
    </w:p>
    <w:p w:rsidR="00A007C6" w:rsidRDefault="0060584E" w:rsidP="0060584E">
      <w:pPr>
        <w:pStyle w:val="Default"/>
        <w:jc w:val="both"/>
        <w:rPr>
          <w:i/>
          <w:sz w:val="22"/>
          <w:szCs w:val="22"/>
        </w:rPr>
      </w:pPr>
      <w:r w:rsidRPr="009F1F86">
        <w:rPr>
          <w:i/>
          <w:sz w:val="22"/>
          <w:szCs w:val="22"/>
          <w:u w:val="single"/>
        </w:rPr>
        <w:t>The Awards Committee reserves the right to make no award for any of the award categories</w:t>
      </w:r>
      <w:r w:rsidRPr="009C456C">
        <w:rPr>
          <w:i/>
          <w:sz w:val="22"/>
          <w:szCs w:val="22"/>
        </w:rPr>
        <w:t>.</w:t>
      </w:r>
    </w:p>
    <w:p w:rsidR="00916DBA" w:rsidRDefault="00916DBA">
      <w:pPr>
        <w:spacing w:after="160" w:line="259" w:lineRule="auto"/>
        <w:ind w:left="0" w:right="0" w:firstLine="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6A2CA8" w:rsidRPr="003C23D0" w:rsidRDefault="00895FDB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lastRenderedPageBreak/>
        <w:t xml:space="preserve">Institutional, Strategic, and Operational </w:t>
      </w:r>
      <w:r w:rsidR="00CA5344" w:rsidRPr="003C23D0">
        <w:rPr>
          <w:b/>
          <w:color w:val="2E74B5" w:themeColor="accent1" w:themeShade="BF"/>
          <w:sz w:val="28"/>
          <w:szCs w:val="28"/>
        </w:rPr>
        <w:t>Excellence</w:t>
      </w:r>
      <w:r w:rsidR="00CB22F5" w:rsidRPr="003C23D0">
        <w:rPr>
          <w:b/>
          <w:color w:val="2E74B5" w:themeColor="accent1" w:themeShade="BF"/>
          <w:sz w:val="28"/>
          <w:szCs w:val="28"/>
        </w:rPr>
        <w:t xml:space="preserve"> 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</w:t>
      </w:r>
      <w:r w:rsidR="00283616">
        <w:t xml:space="preserve">the </w:t>
      </w:r>
      <w:r w:rsidR="00A007C6" w:rsidRPr="00283616">
        <w:rPr>
          <w:b/>
          <w:u w:val="single"/>
        </w:rPr>
        <w:t>Leader</w:t>
      </w:r>
      <w:r w:rsidR="00A007C6" w:rsidRPr="00CA7785">
        <w:t xml:space="preserve"> </w:t>
      </w:r>
      <w:r w:rsidR="00283616">
        <w:t>career role category (</w:t>
      </w:r>
      <w:r w:rsidR="00A007C6">
        <w:t>including Supervisor, Manager, Administrator, and Officer</w:t>
      </w:r>
      <w:r w:rsidR="00283616">
        <w:t>)</w:t>
      </w:r>
      <w:r w:rsidR="00A007C6">
        <w:t xml:space="preserve"> of all </w:t>
      </w:r>
      <w:r w:rsidR="00CA7785">
        <w:t xml:space="preserve">career </w:t>
      </w:r>
      <w:r w:rsidR="00A007C6">
        <w:t>levels.</w:t>
      </w:r>
      <w:r w:rsidR="00CB22F5" w:rsidRPr="00096D67">
        <w:t xml:space="preserve">  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</w:t>
      </w:r>
      <w:r w:rsidR="0060584E">
        <w:t xml:space="preserve">rking at FIU for at </w:t>
      </w:r>
      <w:r w:rsidR="0060584E" w:rsidRPr="00F54AA9">
        <w:t xml:space="preserve">least three </w:t>
      </w:r>
      <w:r w:rsidR="00CB22F5" w:rsidRPr="00F54AA9">
        <w:t>academic years</w:t>
      </w:r>
      <w:r w:rsidR="00F54AA9" w:rsidRPr="00F54AA9">
        <w:t xml:space="preserve"> (i.e., hirin</w:t>
      </w:r>
      <w:r w:rsidR="00407A1D">
        <w:t xml:space="preserve">g date no later than August </w:t>
      </w:r>
      <w:r w:rsidR="001646CE">
        <w:t>20</w:t>
      </w:r>
      <w:r w:rsidR="00F15B94">
        <w:t>20</w:t>
      </w:r>
      <w:r w:rsidR="00F54AA9" w:rsidRPr="00F54AA9">
        <w:t>)</w:t>
      </w:r>
      <w:r w:rsidR="00CB22F5" w:rsidRPr="00F54AA9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Criteria:</w:t>
      </w:r>
    </w:p>
    <w:p w:rsidR="00096D67" w:rsidRPr="00096D67" w:rsidRDefault="00096D67" w:rsidP="00096D67">
      <w:pPr>
        <w:spacing w:after="0" w:line="240" w:lineRule="auto"/>
        <w:ind w:right="0"/>
        <w:jc w:val="left"/>
      </w:pP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Supported institutional, strategic, and operational excellence by restructuring processes to improve efficiency, productivity and quality;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Implementing critical programs; and</w:t>
      </w:r>
      <w:r w:rsidR="00CC0A7C">
        <w:t>/or</w:t>
      </w:r>
      <w:r w:rsidRPr="00096D67">
        <w:t xml:space="preserve">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Receiving recognition from peers in the academic community for excellence in research, scholastic, or creative activities. </w:t>
      </w:r>
    </w:p>
    <w:p w:rsidR="0060584E" w:rsidRDefault="00CB22F5" w:rsidP="003C23D0">
      <w:pPr>
        <w:spacing w:after="0" w:line="240" w:lineRule="auto"/>
        <w:ind w:left="1" w:right="0" w:firstLine="0"/>
        <w:jc w:val="left"/>
        <w:rPr>
          <w:b/>
        </w:rPr>
      </w:pPr>
      <w:r w:rsidRPr="00096D67">
        <w:rPr>
          <w:rFonts w:ascii="Times New Roman" w:eastAsia="Times New Roman" w:hAnsi="Times New Roman" w:cs="Times New Roman"/>
        </w:rPr>
        <w:t xml:space="preserve"> </w:t>
      </w:r>
      <w:r w:rsidRPr="00096D67">
        <w:t xml:space="preserve"> </w:t>
      </w:r>
    </w:p>
    <w:p w:rsidR="006A2CA8" w:rsidRPr="003C23D0" w:rsidRDefault="00CB22F5" w:rsidP="003C23D0">
      <w:pPr>
        <w:pStyle w:val="ListParagraph"/>
        <w:numPr>
          <w:ilvl w:val="0"/>
          <w:numId w:val="2"/>
        </w:numPr>
        <w:spacing w:after="0" w:line="240" w:lineRule="auto"/>
        <w:ind w:left="346"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Knowledge and Achievement</w:t>
      </w:r>
      <w:r w:rsidRPr="003C23D0">
        <w:rPr>
          <w:color w:val="2E74B5" w:themeColor="accent1" w:themeShade="BF"/>
          <w:sz w:val="28"/>
          <w:szCs w:val="28"/>
        </w:rPr>
        <w:t xml:space="preserve"> </w:t>
      </w:r>
    </w:p>
    <w:p w:rsidR="003C23D0" w:rsidRDefault="003C23D0" w:rsidP="00096D67">
      <w:pPr>
        <w:spacing w:after="0" w:line="240" w:lineRule="auto"/>
        <w:ind w:left="-5" w:right="0" w:hanging="10"/>
        <w:jc w:val="left"/>
        <w:rPr>
          <w:b/>
          <w:i/>
        </w:rPr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Eligibility: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</w:t>
      </w:r>
      <w:r w:rsidR="001646CE" w:rsidRPr="00283616">
        <w:rPr>
          <w:b/>
          <w:u w:val="single"/>
        </w:rPr>
        <w:t>Professional</w:t>
      </w:r>
      <w:r w:rsidR="001646CE">
        <w:t xml:space="preserve"> </w:t>
      </w:r>
      <w:r w:rsidR="00283616">
        <w:t>career role</w:t>
      </w:r>
      <w:r w:rsidR="00A007C6">
        <w:t xml:space="preserve"> </w:t>
      </w:r>
      <w:r w:rsidR="00283616">
        <w:t xml:space="preserve">category </w:t>
      </w:r>
      <w:r w:rsidR="00A007C6">
        <w:t xml:space="preserve">of all </w:t>
      </w:r>
      <w:r w:rsidR="00CA7785">
        <w:t xml:space="preserve">career </w:t>
      </w:r>
      <w:r w:rsidR="00A007C6">
        <w:t>levels.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</w:t>
      </w:r>
      <w:r w:rsidR="001646CE" w:rsidRPr="00F54AA9">
        <w:t>20</w:t>
      </w:r>
      <w:r w:rsidR="00F15B94">
        <w:t>20</w:t>
      </w:r>
      <w:r w:rsidR="00F54AA9" w:rsidRPr="00F54AA9">
        <w:t>)</w:t>
      </w:r>
      <w:r w:rsidR="00CB22F5" w:rsidRPr="00096D67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Served as a role model for the pursuit, generation, dissemination, and application of knowledge through professional development, mentorship, and/or peer development.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Pr="003C23D0" w:rsidRDefault="00C52BFF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Service Excellence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</w:t>
      </w:r>
      <w:r w:rsidR="00283616">
        <w:t xml:space="preserve">the </w:t>
      </w:r>
      <w:r w:rsidR="001646CE" w:rsidRPr="00283616">
        <w:rPr>
          <w:b/>
          <w:u w:val="single"/>
        </w:rPr>
        <w:t>Support</w:t>
      </w:r>
      <w:r w:rsidR="001646CE">
        <w:t xml:space="preserve"> </w:t>
      </w:r>
      <w:r w:rsidR="00283616">
        <w:t xml:space="preserve">career role category (AFSCME employees) </w:t>
      </w:r>
      <w:r w:rsidR="00A007C6">
        <w:t xml:space="preserve">of all </w:t>
      </w:r>
      <w:r w:rsidR="00CA7785">
        <w:t xml:space="preserve">career </w:t>
      </w:r>
      <w:r w:rsidR="00A007C6">
        <w:t>levels.</w:t>
      </w:r>
      <w:r w:rsidR="00CB22F5" w:rsidRPr="00096D67">
        <w:t xml:space="preserve"> </w:t>
      </w: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</w:t>
      </w:r>
      <w:r w:rsidR="001646CE" w:rsidRPr="00F54AA9">
        <w:t>20</w:t>
      </w:r>
      <w:r w:rsidR="00F15B94">
        <w:t>20</w:t>
      </w:r>
      <w:r w:rsidR="00F54AA9" w:rsidRPr="00F54AA9">
        <w:t>)</w:t>
      </w:r>
      <w:r w:rsidR="00CB22F5" w:rsidRPr="00096D67">
        <w:t xml:space="preserve">. 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Provided excellent service to faculty, staff and</w:t>
      </w:r>
      <w:r w:rsidR="00CC0A7C">
        <w:t>/or</w:t>
      </w:r>
      <w:r w:rsidRPr="00096D67">
        <w:t xml:space="preserve"> students.</w:t>
      </w:r>
    </w:p>
    <w:p w:rsidR="00A44674" w:rsidRPr="00096D67" w:rsidRDefault="00A44674" w:rsidP="00096D67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Demonstrated commitment to service by </w:t>
      </w:r>
      <w:r w:rsidR="00C860C3">
        <w:t>exceeding expectations in the areas of telephone etiquette (making internal and external customers feel welcome and respected when they call on the telephone), responsiveness (demonstrating responsiveness to internal and/or external customers’ requests for services and/or information), helpfulness (providing accurate and relevant services and information to internal and/or external customers), and/or teamwork (fostering cooperation and collaboration with internal and/or external customers).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6A2CA8" w:rsidP="002D2B1D">
      <w:pPr>
        <w:spacing w:after="0" w:line="240" w:lineRule="auto"/>
        <w:ind w:left="360" w:right="0" w:firstLine="0"/>
      </w:pPr>
    </w:p>
    <w:sectPr w:rsidR="006A2CA8" w:rsidRPr="00096D67" w:rsidSect="00455F77">
      <w:pgSz w:w="12240" w:h="16339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72" w:rsidRDefault="007C3B72" w:rsidP="00374637">
      <w:pPr>
        <w:spacing w:after="0" w:line="240" w:lineRule="auto"/>
      </w:pPr>
      <w:r>
        <w:separator/>
      </w:r>
    </w:p>
  </w:endnote>
  <w:endnote w:type="continuationSeparator" w:id="0">
    <w:p w:rsidR="007C3B72" w:rsidRDefault="007C3B72" w:rsidP="003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72" w:rsidRDefault="007C3B72" w:rsidP="00374637">
      <w:pPr>
        <w:spacing w:after="0" w:line="240" w:lineRule="auto"/>
      </w:pPr>
      <w:r>
        <w:separator/>
      </w:r>
    </w:p>
  </w:footnote>
  <w:footnote w:type="continuationSeparator" w:id="0">
    <w:p w:rsidR="007C3B72" w:rsidRDefault="007C3B72" w:rsidP="0037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482"/>
    <w:multiLevelType w:val="hybridMultilevel"/>
    <w:tmpl w:val="EE48DC16"/>
    <w:lvl w:ilvl="0" w:tplc="B66A8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86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050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81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F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E5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63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FC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6C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C2B1A"/>
    <w:multiLevelType w:val="hybridMultilevel"/>
    <w:tmpl w:val="7EB44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232CA8"/>
    <w:multiLevelType w:val="hybridMultilevel"/>
    <w:tmpl w:val="19E0F21E"/>
    <w:lvl w:ilvl="0" w:tplc="33AA618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BD4352C"/>
    <w:multiLevelType w:val="hybridMultilevel"/>
    <w:tmpl w:val="43F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CA8"/>
    <w:rsid w:val="00003965"/>
    <w:rsid w:val="0002210D"/>
    <w:rsid w:val="00040300"/>
    <w:rsid w:val="00043B52"/>
    <w:rsid w:val="000732DB"/>
    <w:rsid w:val="000954A3"/>
    <w:rsid w:val="00096D67"/>
    <w:rsid w:val="000C1CA2"/>
    <w:rsid w:val="001172CD"/>
    <w:rsid w:val="001646CE"/>
    <w:rsid w:val="001A4D08"/>
    <w:rsid w:val="001B2E7E"/>
    <w:rsid w:val="00213D4E"/>
    <w:rsid w:val="00275479"/>
    <w:rsid w:val="002819E7"/>
    <w:rsid w:val="00281DFA"/>
    <w:rsid w:val="00283616"/>
    <w:rsid w:val="002B6430"/>
    <w:rsid w:val="002C2E33"/>
    <w:rsid w:val="002D2B1D"/>
    <w:rsid w:val="002E4B7C"/>
    <w:rsid w:val="0033090D"/>
    <w:rsid w:val="00367ACF"/>
    <w:rsid w:val="00374637"/>
    <w:rsid w:val="003A0808"/>
    <w:rsid w:val="003C23D0"/>
    <w:rsid w:val="00407A1D"/>
    <w:rsid w:val="00455F77"/>
    <w:rsid w:val="00492D4F"/>
    <w:rsid w:val="004A4FD5"/>
    <w:rsid w:val="004E3C1B"/>
    <w:rsid w:val="005A0C07"/>
    <w:rsid w:val="005D10B3"/>
    <w:rsid w:val="005F5218"/>
    <w:rsid w:val="0060584E"/>
    <w:rsid w:val="006A2CA8"/>
    <w:rsid w:val="006B7535"/>
    <w:rsid w:val="00701195"/>
    <w:rsid w:val="007A1675"/>
    <w:rsid w:val="007C25BF"/>
    <w:rsid w:val="007C3B72"/>
    <w:rsid w:val="00895FDB"/>
    <w:rsid w:val="008A5DE3"/>
    <w:rsid w:val="008C303B"/>
    <w:rsid w:val="00901752"/>
    <w:rsid w:val="00902F82"/>
    <w:rsid w:val="00916DBA"/>
    <w:rsid w:val="009B6ADA"/>
    <w:rsid w:val="009C456C"/>
    <w:rsid w:val="009F1F86"/>
    <w:rsid w:val="009F6BB5"/>
    <w:rsid w:val="00A007C6"/>
    <w:rsid w:val="00A44674"/>
    <w:rsid w:val="00A47567"/>
    <w:rsid w:val="00A8768C"/>
    <w:rsid w:val="00B86A16"/>
    <w:rsid w:val="00B9215A"/>
    <w:rsid w:val="00BD494D"/>
    <w:rsid w:val="00BE0FE6"/>
    <w:rsid w:val="00C150CF"/>
    <w:rsid w:val="00C454D2"/>
    <w:rsid w:val="00C52BFF"/>
    <w:rsid w:val="00C77390"/>
    <w:rsid w:val="00C83C72"/>
    <w:rsid w:val="00C860C3"/>
    <w:rsid w:val="00C92BC4"/>
    <w:rsid w:val="00CA36C7"/>
    <w:rsid w:val="00CA5344"/>
    <w:rsid w:val="00CA7785"/>
    <w:rsid w:val="00CB22F5"/>
    <w:rsid w:val="00CC0A7C"/>
    <w:rsid w:val="00D25B9B"/>
    <w:rsid w:val="00D51BC8"/>
    <w:rsid w:val="00D676ED"/>
    <w:rsid w:val="00D867D0"/>
    <w:rsid w:val="00E13B88"/>
    <w:rsid w:val="00E62200"/>
    <w:rsid w:val="00E732EE"/>
    <w:rsid w:val="00E8030A"/>
    <w:rsid w:val="00E96903"/>
    <w:rsid w:val="00EE12E5"/>
    <w:rsid w:val="00F0773B"/>
    <w:rsid w:val="00F15B02"/>
    <w:rsid w:val="00F15B94"/>
    <w:rsid w:val="00F21E26"/>
    <w:rsid w:val="00F54AA9"/>
    <w:rsid w:val="00FC194C"/>
    <w:rsid w:val="00FD5559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30"/>
    <w:pPr>
      <w:spacing w:after="110" w:line="249" w:lineRule="auto"/>
      <w:ind w:left="370" w:right="1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B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B3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10B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3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F77"/>
    <w:pPr>
      <w:ind w:left="720"/>
      <w:contextualSpacing/>
    </w:pPr>
  </w:style>
  <w:style w:type="paragraph" w:customStyle="1" w:styleId="Default">
    <w:name w:val="Default"/>
    <w:rsid w:val="0028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3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ecfc.fiu.edu/faculty-and-staff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A Gan</cp:lastModifiedBy>
  <cp:revision>7</cp:revision>
  <dcterms:created xsi:type="dcterms:W3CDTF">2022-02-07T14:14:00Z</dcterms:created>
  <dcterms:modified xsi:type="dcterms:W3CDTF">2023-03-09T14:39:00Z</dcterms:modified>
</cp:coreProperties>
</file>